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F7" w:rsidRDefault="00164D9E" w:rsidP="00195CF4">
      <w:pPr>
        <w:bidi/>
        <w:rPr>
          <w:rFonts w:hint="cs"/>
          <w:rtl/>
        </w:rPr>
      </w:pPr>
      <w:r>
        <w:rPr>
          <w:rFonts w:hint="cs"/>
          <w:rtl/>
        </w:rPr>
        <w:t>در فرضیۀ هویت اجتماعی ، خود از آن نظر منعکس</w:t>
      </w:r>
      <w:r>
        <w:rPr>
          <w:rFonts w:hint="cs"/>
          <w:rtl/>
        </w:rPr>
        <w:softHyphen/>
        <w:t>کننده است که می</w:t>
      </w:r>
      <w:r>
        <w:rPr>
          <w:rFonts w:hint="cs"/>
          <w:rtl/>
        </w:rPr>
        <w:softHyphen/>
        <w:t>تواند خود را به عنوان شیء معرفی نموده و طبقه</w:t>
      </w:r>
      <w:r>
        <w:rPr>
          <w:rFonts w:hint="cs"/>
          <w:rtl/>
        </w:rPr>
        <w:softHyphen/>
        <w:t xml:space="preserve">بندی یا کلاسه شود ، و یا آنکه </w:t>
      </w:r>
      <w:r w:rsidR="00195CF4">
        <w:rPr>
          <w:rFonts w:hint="cs"/>
          <w:rtl/>
        </w:rPr>
        <w:t xml:space="preserve">خود را </w:t>
      </w:r>
      <w:r>
        <w:rPr>
          <w:rFonts w:hint="cs"/>
          <w:rtl/>
        </w:rPr>
        <w:t>بطرق مشخصی در ارتباط با دیگر زمره</w:t>
      </w:r>
      <w:r>
        <w:rPr>
          <w:rFonts w:hint="cs"/>
          <w:rtl/>
        </w:rPr>
        <w:softHyphen/>
        <w:t>ها و رده</w:t>
      </w:r>
      <w:r>
        <w:rPr>
          <w:rFonts w:hint="cs"/>
          <w:rtl/>
        </w:rPr>
        <w:softHyphen/>
        <w:t xml:space="preserve">های اجتماعی نامگذاری نماید. </w:t>
      </w:r>
      <w:r w:rsidR="0056374D">
        <w:rPr>
          <w:rFonts w:hint="cs"/>
          <w:rtl/>
        </w:rPr>
        <w:t xml:space="preserve">این فرایند ، در فرضیۀ هویت اجتماعی </w:t>
      </w:r>
      <w:r w:rsidR="00195CF4">
        <w:rPr>
          <w:rFonts w:cs="Times New Roman" w:hint="cs"/>
          <w:rtl/>
        </w:rPr>
        <w:t>"</w:t>
      </w:r>
      <w:r w:rsidR="0056374D">
        <w:rPr>
          <w:rFonts w:hint="cs"/>
          <w:rtl/>
        </w:rPr>
        <w:t xml:space="preserve">خود </w:t>
      </w:r>
      <w:r w:rsidR="0056374D">
        <w:rPr>
          <w:rFonts w:cs="Times New Roman" w:hint="cs"/>
          <w:rtl/>
        </w:rPr>
        <w:t>–</w:t>
      </w:r>
      <w:r w:rsidR="0056374D">
        <w:rPr>
          <w:rFonts w:hint="cs"/>
          <w:rtl/>
        </w:rPr>
        <w:t xml:space="preserve"> طبقه</w:t>
      </w:r>
      <w:r w:rsidR="0056374D">
        <w:rPr>
          <w:rFonts w:hint="cs"/>
          <w:rtl/>
        </w:rPr>
        <w:softHyphen/>
        <w:t>بندی کردن</w:t>
      </w:r>
      <w:r w:rsidR="00195CF4">
        <w:rPr>
          <w:rFonts w:cs="Times New Roman" w:hint="cs"/>
          <w:rtl/>
        </w:rPr>
        <w:t>"</w:t>
      </w:r>
      <w:r w:rsidR="00195CF4">
        <w:rPr>
          <w:rStyle w:val="FootnoteReference"/>
          <w:rFonts w:cs="Times New Roman"/>
          <w:rtl/>
        </w:rPr>
        <w:footnoteReference w:id="1"/>
      </w:r>
      <w:r w:rsidR="0056374D">
        <w:rPr>
          <w:rFonts w:hint="cs"/>
          <w:rtl/>
        </w:rPr>
        <w:t xml:space="preserve"> نام دارد (تومر ، هاگ، اوکز ، ریچر، و وِثلر ، 1987) ؛ در فرضیۀ هویت این عمل را تحت عنوان </w:t>
      </w:r>
      <w:r w:rsidR="0056374D">
        <w:rPr>
          <w:rFonts w:cs="Times New Roman" w:hint="cs"/>
          <w:rtl/>
        </w:rPr>
        <w:t>"</w:t>
      </w:r>
      <w:r w:rsidR="0056374D">
        <w:rPr>
          <w:rFonts w:hint="cs"/>
          <w:rtl/>
        </w:rPr>
        <w:t>شناسایی</w:t>
      </w:r>
      <w:r w:rsidR="0056374D">
        <w:rPr>
          <w:rFonts w:cs="Times New Roman" w:hint="cs"/>
          <w:rtl/>
        </w:rPr>
        <w:t>"</w:t>
      </w:r>
      <w:r w:rsidR="0056374D">
        <w:rPr>
          <w:rFonts w:hint="cs"/>
          <w:rtl/>
        </w:rPr>
        <w:t xml:space="preserve"> می</w:t>
      </w:r>
      <w:r w:rsidR="0056374D">
        <w:rPr>
          <w:rFonts w:hint="cs"/>
          <w:rtl/>
        </w:rPr>
        <w:softHyphen/>
        <w:t>نامند (مک</w:t>
      </w:r>
      <w:r w:rsidR="0056374D">
        <w:rPr>
          <w:rFonts w:hint="cs"/>
          <w:rtl/>
        </w:rPr>
        <w:softHyphen/>
      </w:r>
      <w:r w:rsidR="0056374D">
        <w:rPr>
          <w:rtl/>
        </w:rPr>
        <w:softHyphen/>
      </w:r>
      <w:r w:rsidR="0056374D">
        <w:rPr>
          <w:rFonts w:hint="cs"/>
          <w:rtl/>
        </w:rPr>
        <w:t>کال و سیمونز 1978). از طریق فرآیند خود طبقه</w:t>
      </w:r>
      <w:r w:rsidR="0056374D">
        <w:rPr>
          <w:rFonts w:hint="cs"/>
          <w:rtl/>
        </w:rPr>
        <w:softHyphen/>
        <w:t xml:space="preserve">بندی نمودن یا شناسایی </w:t>
      </w:r>
      <w:r w:rsidR="00195CF4">
        <w:t>(identification)</w:t>
      </w:r>
      <w:bookmarkStart w:id="0" w:name="_GoBack"/>
      <w:bookmarkEnd w:id="0"/>
      <w:r w:rsidR="0056374D">
        <w:rPr>
          <w:rFonts w:hint="cs"/>
          <w:rtl/>
        </w:rPr>
        <w:t>، یک  هویت شکل می</w:t>
      </w:r>
      <w:r w:rsidR="0056374D">
        <w:rPr>
          <w:rFonts w:hint="cs"/>
          <w:rtl/>
        </w:rPr>
        <w:softHyphen/>
        <w:t xml:space="preserve">گیرد. </w:t>
      </w:r>
    </w:p>
    <w:p w:rsidR="0056374D" w:rsidRPr="0056374D" w:rsidRDefault="0056374D" w:rsidP="0056374D">
      <w:pPr>
        <w:bidi/>
        <w:rPr>
          <w:rFonts w:cs="Times New Roman" w:hint="cs"/>
          <w:rtl/>
        </w:rPr>
      </w:pPr>
      <w:r>
        <w:rPr>
          <w:rFonts w:hint="cs"/>
          <w:rtl/>
        </w:rPr>
        <w:t>در فرضیۀ هویت اجتماعی ، یک هویت اجتماعی ، همان دانش شخص است که طی آن او به زمره یا گروهی اجتماعی را تعلق خواهد داشت (یا به آن نسبت داده می</w:t>
      </w:r>
      <w:r>
        <w:rPr>
          <w:rFonts w:hint="cs"/>
          <w:rtl/>
        </w:rPr>
        <w:softHyphen/>
        <w:t xml:space="preserve">شود) (هاگ و آبرامس ، 1988) . </w:t>
      </w:r>
    </w:p>
    <w:sectPr w:rsidR="0056374D" w:rsidRPr="0056374D" w:rsidSect="00A020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16" w:rsidRDefault="006E5A16" w:rsidP="00195CF4">
      <w:pPr>
        <w:spacing w:line="240" w:lineRule="auto"/>
      </w:pPr>
      <w:r>
        <w:separator/>
      </w:r>
    </w:p>
  </w:endnote>
  <w:endnote w:type="continuationSeparator" w:id="0">
    <w:p w:rsidR="006E5A16" w:rsidRDefault="006E5A16" w:rsidP="00195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16" w:rsidRDefault="006E5A16" w:rsidP="00195CF4">
      <w:pPr>
        <w:spacing w:line="240" w:lineRule="auto"/>
      </w:pPr>
      <w:r>
        <w:separator/>
      </w:r>
    </w:p>
  </w:footnote>
  <w:footnote w:type="continuationSeparator" w:id="0">
    <w:p w:rsidR="006E5A16" w:rsidRDefault="006E5A16" w:rsidP="00195CF4">
      <w:pPr>
        <w:spacing w:line="240" w:lineRule="auto"/>
      </w:pPr>
      <w:r>
        <w:continuationSeparator/>
      </w:r>
    </w:p>
  </w:footnote>
  <w:footnote w:id="1">
    <w:p w:rsidR="00195CF4" w:rsidRDefault="00195CF4" w:rsidP="00195CF4">
      <w:pPr>
        <w:pStyle w:val="FootnoteText"/>
      </w:pPr>
      <w:r>
        <w:rPr>
          <w:rStyle w:val="FootnoteReference"/>
        </w:rPr>
        <w:footnoteRef/>
      </w:r>
      <w:r>
        <w:t xml:space="preserve"> - Self- categorization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9E"/>
    <w:rsid w:val="00164D9E"/>
    <w:rsid w:val="00195CF4"/>
    <w:rsid w:val="0056374D"/>
    <w:rsid w:val="006E5A16"/>
    <w:rsid w:val="00A020AD"/>
    <w:rsid w:val="00D3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fa-IR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CF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C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fa-IR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CF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pc_4</dc:creator>
  <cp:lastModifiedBy>pc_4</cp:lastModifiedBy>
  <cp:revision>3</cp:revision>
  <dcterms:created xsi:type="dcterms:W3CDTF">2018-01-04T07:46:00Z</dcterms:created>
  <dcterms:modified xsi:type="dcterms:W3CDTF">2018-01-04T07:57:00Z</dcterms:modified>
</cp:coreProperties>
</file>