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right="120" w:firstLine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Emblem of Afghanistan </w:t>
      </w:r>
    </w:p>
    <w:p>
      <w:pPr>
        <w:pStyle w:val="Para0"/>
        <w:spacing w:line="312" w:lineRule="auto"/>
        <w:ind w:right="120" w:firstLine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Islamic Republic of Afghanistan 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Ministry of  Finance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General Chairmanship of Incomes</w:t>
      </w:r>
    </w:p>
    <w:tbl>
      <w:tblPr>
        <w:tblStyle w:val="Default Table"/>
        <w:tblCellMar w:top="60" w:left="60" w:bottom="60" w:right="60"/>
        <w:tblW w:w="9026" w:type="auto"/>
        <w:jc w:val="center"/>
        <w:tblLook w:val="0000"/>
      </w:tblPr>
      <w:tblGrid>
        <w:gridCol w:w="9026"/>
      </w:tblGrid>
      <w:tr>
        <w:tc>
          <w:tcPr>
            <w:tcW w:w="902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1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IDG SECURITY Company</w:t>
            </w:r>
          </w:p>
        </w:tc>
      </w:tr>
      <w:tr>
        <w:tc>
          <w:tcPr>
            <w:tcW w:w="9026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Recognition No: 1011898010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Reviewed tax period: 2014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Reviewed Finance type: 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Profitable Transactions Finance, Incomes-</w:t>
            </w:r>
            <w:r>
              <w:rPr>
                <w:rStyle w:val="Character1"/>
                <w:sz w:val="52"/>
                <w:szCs w:val="52"/>
              </w:rPr>
              <w:t xml:space="preserve">tax and the Subject</w:t>
            </w:r>
            <w:r>
              <w:rPr>
                <w:rStyle w:val="Character2"/>
                <w:color w:val="C00000"/>
                <w:sz w:val="52"/>
                <w:szCs w:val="52"/>
              </w:rPr>
              <w:t xml:space="preserve"> </w:t>
            </w:r>
            <w:r>
              <w:rPr>
                <w:rStyle w:val="Character1"/>
                <w:sz w:val="52"/>
                <w:szCs w:val="52"/>
              </w:rPr>
              <w:t>Finance</w:t>
            </w:r>
            <w:r>
              <w:rPr>
                <w:rStyle w:val="Character2"/>
                <w:color w:val="C00000"/>
                <w:sz w:val="52"/>
                <w:szCs w:val="52"/>
              </w:rPr>
              <w:t xml:space="preserve">  </w:t>
            </w:r>
          </w:p>
        </w:tc>
      </w:tr>
    </w:tbl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 Report- Chairmanship of eminent </w:t>
      </w:r>
      <w:r>
        <w:rPr>
          <w:rStyle w:val="Character1"/>
          <w:sz w:val="52"/>
          <w:szCs w:val="52"/>
        </w:rPr>
        <w:t>taxpayers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 Manager:Rahim "Zahin"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 Members: Fasihullah and </w:t>
      </w:r>
      <w:r>
        <w:rPr>
          <w:rStyle w:val="Character1"/>
          <w:sz w:val="52"/>
          <w:szCs w:val="52"/>
        </w:rPr>
        <w:t>Abdulmatin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Nov., 2017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Emblem of Afghanistan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Islamic Republic of Afghanistan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Ministry of Finance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General Chairmanship of Incomes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 Report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Reviewable Business: IDG SECURITY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Recognition No: 1011898010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Business Activity: ((Security Service)) </w:t>
      </w:r>
      <w:r>
        <w:rPr>
          <w:rStyle w:val="Character1"/>
          <w:sz w:val="52"/>
          <w:szCs w:val="52"/>
        </w:rPr>
        <w:t>Trade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Reviewable Tax Period: 2014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Reviewable Finance Type: The Subject </w:t>
      </w:r>
      <w:r>
        <w:rPr>
          <w:rStyle w:val="Character1"/>
          <w:sz w:val="52"/>
          <w:szCs w:val="52"/>
        </w:rPr>
        <w:t xml:space="preserve">Tax, ProfitableTax and Incomes-Tax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 Done by: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 Manager: Rahim "Dhahin"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Review Members: Abdulmatin and </w:t>
      </w:r>
      <w:r>
        <w:rPr>
          <w:rStyle w:val="Character1"/>
          <w:sz w:val="52"/>
          <w:szCs w:val="52"/>
        </w:rPr>
        <w:t>Fasihullah</w:t>
      </w: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1.0 Background (Presenting the brief </w:t>
      </w:r>
      <w:r>
        <w:rPr>
          <w:rStyle w:val="Character1"/>
          <w:sz w:val="52"/>
          <w:szCs w:val="52"/>
        </w:rPr>
        <w:t xml:space="preserve">information of business activity)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The Structure of Office: IDG SECURITY </w:t>
      </w:r>
      <w:r>
        <w:rPr>
          <w:rStyle w:val="Character1"/>
          <w:sz w:val="52"/>
          <w:szCs w:val="52"/>
        </w:rPr>
        <w:t xml:space="preserve">has established on Nov. 13, 2004 in </w:t>
      </w:r>
      <w:r>
        <w:rPr>
          <w:rStyle w:val="Character1"/>
          <w:sz w:val="52"/>
          <w:szCs w:val="52"/>
        </w:rPr>
        <w:t xml:space="preserve">Afghanistan. 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The so-called company has continued its </w:t>
      </w:r>
      <w:r>
        <w:rPr>
          <w:rStyle w:val="Character1"/>
          <w:sz w:val="52"/>
          <w:szCs w:val="52"/>
        </w:rPr>
        <w:t xml:space="preserve">security services from its establishment till </w:t>
      </w:r>
      <w:r>
        <w:rPr>
          <w:rStyle w:val="Character1"/>
          <w:sz w:val="52"/>
          <w:szCs w:val="52"/>
        </w:rPr>
        <w:t xml:space="preserve">now. The head office is located in Kabul </w:t>
      </w:r>
      <w:r>
        <w:rPr>
          <w:rStyle w:val="Character1"/>
          <w:sz w:val="52"/>
          <w:szCs w:val="52"/>
        </w:rPr>
        <w:t xml:space="preserve">province. And Mr. Feiz Mohammad is its </w:t>
      </w:r>
      <w:r>
        <w:rPr>
          <w:rStyle w:val="Character1"/>
          <w:sz w:val="52"/>
          <w:szCs w:val="52"/>
        </w:rPr>
        <w:t xml:space="preserve">financial manager.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How to get incomes: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IDG SECURITY,  gains its incomes </w:t>
      </w:r>
      <w:r>
        <w:rPr>
          <w:rStyle w:val="Character1"/>
          <w:sz w:val="52"/>
          <w:szCs w:val="52"/>
        </w:rPr>
        <w:t xml:space="preserve">through security services. 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Pre-review Results: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IDG SECURITY has reviewed from its </w:t>
      </w:r>
      <w:r>
        <w:rPr>
          <w:rStyle w:val="Character1"/>
          <w:sz w:val="52"/>
          <w:szCs w:val="52"/>
        </w:rPr>
        <w:t xml:space="preserve">establishment till 2013 and is reviewed </w:t>
      </w:r>
      <w:r>
        <w:rPr>
          <w:rStyle w:val="Character1"/>
          <w:sz w:val="52"/>
          <w:szCs w:val="52"/>
        </w:rPr>
        <w:t xml:space="preserve">from 2014 till now.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Payment History: With regard to binding </w:t>
      </w:r>
      <w:r>
        <w:rPr>
          <w:rStyle w:val="Character1"/>
          <w:sz w:val="52"/>
          <w:szCs w:val="52"/>
        </w:rPr>
        <w:t xml:space="preserve">incomes-tax law and tax administration </w:t>
      </w:r>
      <w:r>
        <w:rPr>
          <w:rStyle w:val="Character1"/>
          <w:sz w:val="52"/>
          <w:szCs w:val="52"/>
        </w:rPr>
        <w:t xml:space="preserve">office law of Afghanistan, the security </w:t>
      </w:r>
      <w:r>
        <w:rPr>
          <w:rStyle w:val="Character1"/>
          <w:sz w:val="52"/>
          <w:szCs w:val="52"/>
        </w:rPr>
        <w:t xml:space="preserve">companies are known to be exempted from </w:t>
      </w:r>
      <w:r>
        <w:rPr>
          <w:rStyle w:val="Character1"/>
          <w:sz w:val="52"/>
          <w:szCs w:val="52"/>
        </w:rPr>
        <w:t xml:space="preserve">payment function of 2 percent tax on profit </w:t>
      </w:r>
      <w:r>
        <w:rPr>
          <w:rStyle w:val="Character1"/>
          <w:sz w:val="52"/>
          <w:szCs w:val="52"/>
        </w:rPr>
        <w:t xml:space="preserve">transactions (before Aug. 2015) result </w:t>
      </w:r>
      <w:r>
        <w:rPr>
          <w:rStyle w:val="Character1"/>
          <w:sz w:val="52"/>
          <w:szCs w:val="52"/>
        </w:rPr>
        <w:t xml:space="preserve">from incomes that gain from security </w:t>
      </w:r>
      <w:r>
        <w:rPr>
          <w:rStyle w:val="Character1"/>
          <w:sz w:val="52"/>
          <w:szCs w:val="52"/>
        </w:rPr>
        <w:t xml:space="preserve">services based on the letter No. RSI-37370 </w:t>
      </w:r>
      <w:r>
        <w:rPr>
          <w:rStyle w:val="Character1"/>
          <w:sz w:val="52"/>
          <w:szCs w:val="52"/>
        </w:rPr>
        <w:t xml:space="preserve">dated May. 28, 2012 the order of </w:t>
      </w:r>
      <w:r>
        <w:rPr>
          <w:rStyle w:val="Character1"/>
          <w:sz w:val="52"/>
          <w:szCs w:val="52"/>
        </w:rPr>
        <w:t xml:space="preserve">procedures and tax exemptions of </w:t>
      </w:r>
      <w:r>
        <w:rPr>
          <w:rStyle w:val="Character1"/>
          <w:sz w:val="52"/>
          <w:szCs w:val="52"/>
        </w:rPr>
        <w:t xml:space="preserve">chairmanship of legal services and the </w:t>
      </w:r>
      <w:r>
        <w:rPr>
          <w:rStyle w:val="Character1"/>
          <w:sz w:val="52"/>
          <w:szCs w:val="52"/>
        </w:rPr>
        <w:t xml:space="preserve">policy of general chairmanship of incomes </w:t>
      </w:r>
      <w:r>
        <w:rPr>
          <w:rStyle w:val="Character1"/>
          <w:sz w:val="52"/>
          <w:szCs w:val="52"/>
        </w:rPr>
        <w:t xml:space="preserve">from profitable tax. And according to tax </w:t>
      </w:r>
      <w:r>
        <w:rPr>
          <w:rStyle w:val="Character1"/>
          <w:sz w:val="52"/>
          <w:szCs w:val="52"/>
        </w:rPr>
        <w:t xml:space="preserve">law (service companies) are binded to </w:t>
      </w:r>
      <w:r>
        <w:rPr>
          <w:rStyle w:val="Character1"/>
          <w:sz w:val="52"/>
          <w:szCs w:val="52"/>
        </w:rPr>
        <w:t xml:space="preserve">enact contract subject tax from payments </w:t>
      </w:r>
      <w:r>
        <w:rPr>
          <w:rStyle w:val="Character1"/>
          <w:sz w:val="52"/>
          <w:szCs w:val="52"/>
        </w:rPr>
        <w:t xml:space="preserve">submitted to others.</w:t>
      </w: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IDG SECURITY has submitted its </w:t>
      </w:r>
      <w:r>
        <w:rPr>
          <w:rStyle w:val="Character1"/>
          <w:sz w:val="52"/>
          <w:szCs w:val="52"/>
        </w:rPr>
        <w:t xml:space="preserve">evaluated gross incomes and profitable tax  </w:t>
      </w:r>
      <w:r>
        <w:rPr>
          <w:rStyle w:val="Character1"/>
          <w:sz w:val="52"/>
          <w:szCs w:val="52"/>
        </w:rPr>
        <w:t xml:space="preserve">for the year 2014 as the following:</w:t>
      </w:r>
    </w:p>
    <w:tbl>
      <w:tblPr>
        <w:tblStyle w:val="Default Table"/>
        <w:tblCellMar w:top="60" w:left="60" w:bottom="60" w:right="60"/>
        <w:tblW w:w="9024" w:type="auto"/>
        <w:jc w:val="both"/>
        <w:tblLook w:val="0000"/>
      </w:tblPr>
      <w:tblGrid>
        <w:gridCol w:w="1504"/>
        <w:gridCol w:w="1504"/>
        <w:gridCol w:w="1504"/>
        <w:gridCol w:w="1504"/>
        <w:gridCol w:w="1504"/>
        <w:gridCol w:w="1504"/>
      </w:tblGrid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Evalu</w:t>
            </w:r>
            <w:r>
              <w:rPr>
                <w:rStyle w:val="Character1"/>
                <w:sz w:val="52"/>
                <w:szCs w:val="52"/>
              </w:rPr>
              <w:t xml:space="preserve">ation </w:t>
            </w:r>
            <w:r>
              <w:rPr>
                <w:rStyle w:val="Character1"/>
                <w:sz w:val="52"/>
                <w:szCs w:val="52"/>
              </w:rPr>
              <w:t>Detail</w:t>
            </w:r>
            <w:r>
              <w:rPr>
                <w:rStyle w:val="Character1"/>
                <w:sz w:val="52"/>
                <w:szCs w:val="52"/>
              </w:rPr>
              <w:t>s: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Incom</w:t>
            </w:r>
            <w:r>
              <w:rPr>
                <w:rStyle w:val="Character1"/>
                <w:sz w:val="52"/>
                <w:szCs w:val="52"/>
              </w:rPr>
              <w:t>es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Costs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Benef</w:t>
            </w:r>
            <w:r>
              <w:rPr>
                <w:rStyle w:val="Character1"/>
                <w:sz w:val="52"/>
                <w:szCs w:val="52"/>
              </w:rPr>
              <w:t>its/Lo</w:t>
            </w:r>
            <w:r>
              <w:rPr>
                <w:rStyle w:val="Character1"/>
                <w:sz w:val="52"/>
                <w:szCs w:val="52"/>
              </w:rPr>
              <w:t>sses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Tax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Crime</w:t>
            </w:r>
            <w:r>
              <w:rPr>
                <w:rStyle w:val="Character1"/>
                <w:sz w:val="52"/>
                <w:szCs w:val="52"/>
              </w:rPr>
              <w:t>s</w:t>
            </w: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Gross </w:t>
            </w:r>
            <w:r>
              <w:rPr>
                <w:rStyle w:val="Character1"/>
                <w:sz w:val="52"/>
                <w:szCs w:val="52"/>
              </w:rPr>
              <w:t>Incom</w:t>
            </w:r>
            <w:r>
              <w:rPr>
                <w:rStyle w:val="Character1"/>
                <w:sz w:val="52"/>
                <w:szCs w:val="52"/>
              </w:rPr>
              <w:t>es/Sal</w:t>
            </w:r>
            <w:r>
              <w:rPr>
                <w:rStyle w:val="Character1"/>
                <w:sz w:val="52"/>
                <w:szCs w:val="52"/>
              </w:rPr>
              <w:t xml:space="preserve">es   </w:t>
            </w: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 xml:space="preserve">price </w:t>
            </w:r>
            <w:r>
              <w:rPr>
                <w:rStyle w:val="Character1"/>
                <w:sz w:val="52"/>
                <w:szCs w:val="52"/>
              </w:rPr>
              <w:t xml:space="preserve">in </w:t>
            </w:r>
            <w:r>
              <w:rPr>
                <w:rStyle w:val="Character1"/>
                <w:sz w:val="52"/>
                <w:szCs w:val="52"/>
              </w:rPr>
              <w:t>accor</w:t>
            </w:r>
            <w:r>
              <w:rPr>
                <w:rStyle w:val="Character1"/>
                <w:sz w:val="52"/>
                <w:szCs w:val="52"/>
              </w:rPr>
              <w:t xml:space="preserve">dance </w:t>
            </w:r>
            <w:r>
              <w:rPr>
                <w:rStyle w:val="Character1"/>
                <w:sz w:val="52"/>
                <w:szCs w:val="52"/>
              </w:rPr>
              <w:t xml:space="preserve">with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787,6</w:t>
            </w:r>
            <w:r>
              <w:rPr>
                <w:rStyle w:val="Character1"/>
                <w:sz w:val="52"/>
                <w:szCs w:val="52"/>
              </w:rPr>
              <w:t>26,14</w:t>
            </w:r>
          </w:p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5</w:t>
            </w:r>
          </w:p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>declar</w:t>
            </w:r>
            <w:r>
              <w:rPr>
                <w:rStyle w:val="Character1"/>
                <w:sz w:val="52"/>
                <w:szCs w:val="52"/>
              </w:rPr>
              <w:t>ation: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15,75</w:t>
            </w:r>
            <w:r>
              <w:rPr>
                <w:rStyle w:val="Character1"/>
                <w:sz w:val="52"/>
                <w:szCs w:val="52"/>
              </w:rPr>
              <w:t>2,523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Newl</w:t>
            </w:r>
            <w:r>
              <w:rPr>
                <w:rStyle w:val="Character1"/>
                <w:sz w:val="52"/>
                <w:szCs w:val="52"/>
              </w:rPr>
              <w:t xml:space="preserve">y </w:t>
            </w:r>
            <w:r>
              <w:rPr>
                <w:rStyle w:val="Character1"/>
                <w:sz w:val="52"/>
                <w:szCs w:val="52"/>
              </w:rPr>
              <w:t>Recei</w:t>
            </w:r>
            <w:r>
              <w:rPr>
                <w:rStyle w:val="Character1"/>
                <w:sz w:val="52"/>
                <w:szCs w:val="52"/>
              </w:rPr>
              <w:t xml:space="preserve">ved </w:t>
            </w:r>
            <w:r>
              <w:rPr>
                <w:rStyle w:val="Character1"/>
                <w:sz w:val="52"/>
                <w:szCs w:val="52"/>
              </w:rPr>
              <w:t>Incom</w:t>
            </w:r>
            <w:r>
              <w:rPr>
                <w:rStyle w:val="Character1"/>
                <w:sz w:val="52"/>
                <w:szCs w:val="52"/>
              </w:rPr>
              <w:t>es: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424,1</w:t>
            </w:r>
            <w:r>
              <w:rPr>
                <w:rStyle w:val="Character1"/>
                <w:sz w:val="52"/>
                <w:szCs w:val="52"/>
              </w:rPr>
              <w:t>06,38</w:t>
            </w:r>
            <w:r>
              <w:rPr>
                <w:rStyle w:val="Character1"/>
                <w:sz w:val="52"/>
                <w:szCs w:val="52"/>
              </w:rPr>
              <w:t>6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8,482,</w:t>
            </w:r>
            <w:r>
              <w:rPr>
                <w:rStyle w:val="Character1"/>
                <w:sz w:val="52"/>
                <w:szCs w:val="52"/>
              </w:rPr>
              <w:t>128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Total </w:t>
            </w:r>
            <w:r>
              <w:rPr>
                <w:rStyle w:val="Character1"/>
                <w:sz w:val="52"/>
                <w:szCs w:val="52"/>
              </w:rPr>
              <w:t>Incom</w:t>
            </w:r>
            <w:r>
              <w:rPr>
                <w:rStyle w:val="Character1"/>
                <w:sz w:val="52"/>
                <w:szCs w:val="52"/>
              </w:rPr>
              <w:t>es: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1,211,</w:t>
            </w:r>
            <w:r>
              <w:rPr>
                <w:rStyle w:val="Character1"/>
                <w:sz w:val="52"/>
                <w:szCs w:val="52"/>
              </w:rPr>
              <w:t>732,5</w:t>
            </w:r>
            <w:r>
              <w:rPr>
                <w:rStyle w:val="Character1"/>
                <w:sz w:val="52"/>
                <w:szCs w:val="52"/>
              </w:rPr>
              <w:t>31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24,23</w:t>
            </w:r>
            <w:r>
              <w:rPr>
                <w:rStyle w:val="Character1"/>
                <w:sz w:val="52"/>
                <w:szCs w:val="52"/>
              </w:rPr>
              <w:t>4,651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5"/>
              <w:spacing w:line="313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It is 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based </w:t>
            </w:r>
            <w:r>
              <w:rPr>
                <w:rStyle w:val="Character1"/>
                <w:sz w:val="52"/>
                <w:szCs w:val="52"/>
              </w:rPr>
              <w:t xml:space="preserve">on the </w:t>
            </w:r>
            <w:r>
              <w:rPr>
                <w:rStyle w:val="Character1"/>
                <w:sz w:val="52"/>
                <w:szCs w:val="52"/>
              </w:rPr>
              <w:t xml:space="preserve">letter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No.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RSI-</w:t>
            </w:r>
            <w:r>
              <w:rPr>
                <w:rStyle w:val="Character1"/>
                <w:sz w:val="52"/>
                <w:szCs w:val="52"/>
              </w:rPr>
              <w:t xml:space="preserve">37370 </w:t>
            </w:r>
            <w:r>
              <w:rPr>
                <w:rStyle w:val="Character1"/>
                <w:sz w:val="52"/>
                <w:szCs w:val="52"/>
              </w:rPr>
              <w:t xml:space="preserve">dated </w:t>
            </w:r>
            <w:r>
              <w:rPr>
                <w:rStyle w:val="Character1"/>
                <w:sz w:val="52"/>
                <w:szCs w:val="52"/>
              </w:rPr>
              <w:t xml:space="preserve">May. </w:t>
            </w:r>
            <w:r>
              <w:rPr>
                <w:rStyle w:val="Character1"/>
                <w:sz w:val="52"/>
                <w:szCs w:val="52"/>
              </w:rPr>
              <w:t xml:space="preserve">28, </w:t>
            </w:r>
            <w:r>
              <w:rPr>
                <w:rStyle w:val="Character1"/>
                <w:sz w:val="52"/>
                <w:szCs w:val="52"/>
              </w:rPr>
              <w:t xml:space="preserve">2012 </w:t>
            </w: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 xml:space="preserve">order </w:t>
            </w:r>
            <w:r>
              <w:rPr>
                <w:rStyle w:val="Character1"/>
                <w:sz w:val="52"/>
                <w:szCs w:val="52"/>
              </w:rPr>
              <w:t xml:space="preserve">of </w:t>
            </w:r>
            <w:r>
              <w:rPr>
                <w:rStyle w:val="Character1"/>
                <w:sz w:val="52"/>
                <w:szCs w:val="52"/>
              </w:rPr>
              <w:t>proce</w:t>
            </w:r>
            <w:r>
              <w:rPr>
                <w:rStyle w:val="Character1"/>
                <w:sz w:val="52"/>
                <w:szCs w:val="52"/>
              </w:rPr>
              <w:t xml:space="preserve">dures </w:t>
            </w:r>
            <w:r>
              <w:rPr>
                <w:rStyle w:val="Character1"/>
                <w:sz w:val="52"/>
                <w:szCs w:val="52"/>
              </w:rPr>
              <w:t xml:space="preserve">and </w:t>
            </w:r>
            <w:r>
              <w:rPr>
                <w:rStyle w:val="Character1"/>
                <w:sz w:val="52"/>
                <w:szCs w:val="52"/>
              </w:rPr>
              <w:t xml:space="preserve">tax </w:t>
            </w:r>
            <w:r>
              <w:rPr>
                <w:rStyle w:val="Character1"/>
                <w:sz w:val="52"/>
                <w:szCs w:val="52"/>
              </w:rPr>
              <w:t>exem</w:t>
            </w:r>
            <w:r>
              <w:rPr>
                <w:rStyle w:val="Character1"/>
                <w:sz w:val="52"/>
                <w:szCs w:val="52"/>
              </w:rPr>
              <w:t xml:space="preserve">ptions </w:t>
            </w:r>
            <w:r>
              <w:rPr>
                <w:rStyle w:val="Character1"/>
                <w:sz w:val="52"/>
                <w:szCs w:val="52"/>
              </w:rPr>
              <w:t xml:space="preserve">of 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princi</w:t>
            </w:r>
            <w:r>
              <w:rPr>
                <w:rStyle w:val="Character1"/>
                <w:sz w:val="52"/>
                <w:szCs w:val="52"/>
              </w:rPr>
              <w:t>4,651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palshi</w:t>
            </w:r>
            <w:r>
              <w:rPr>
                <w:rStyle w:val="Character1"/>
                <w:sz w:val="52"/>
                <w:szCs w:val="52"/>
              </w:rPr>
              <w:t xml:space="preserve">p of </w:t>
            </w:r>
            <w:r>
              <w:rPr>
                <w:rStyle w:val="Character1"/>
                <w:sz w:val="52"/>
                <w:szCs w:val="52"/>
              </w:rPr>
              <w:t xml:space="preserve">legal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servic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es and </w:t>
            </w: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 xml:space="preserve">policy </w:t>
            </w:r>
            <w:r>
              <w:rPr>
                <w:rStyle w:val="Character1"/>
                <w:sz w:val="52"/>
                <w:szCs w:val="52"/>
              </w:rPr>
              <w:t xml:space="preserve">of </w:t>
            </w:r>
            <w:r>
              <w:rPr>
                <w:rStyle w:val="Character1"/>
                <w:sz w:val="52"/>
                <w:szCs w:val="52"/>
              </w:rPr>
              <w:t>gener</w:t>
            </w:r>
            <w:r>
              <w:rPr>
                <w:rStyle w:val="Character1"/>
                <w:sz w:val="52"/>
                <w:szCs w:val="52"/>
              </w:rPr>
              <w:t xml:space="preserve">al </w:t>
            </w:r>
            <w:r>
              <w:rPr>
                <w:rStyle w:val="Character1"/>
                <w:sz w:val="52"/>
                <w:szCs w:val="52"/>
              </w:rPr>
              <w:t>princi</w:t>
            </w:r>
            <w:r>
              <w:rPr>
                <w:rStyle w:val="Character1"/>
                <w:sz w:val="52"/>
                <w:szCs w:val="52"/>
              </w:rPr>
              <w:t>palshi</w:t>
            </w:r>
            <w:r>
              <w:rPr>
                <w:rStyle w:val="Character1"/>
                <w:sz w:val="52"/>
                <w:szCs w:val="52"/>
              </w:rPr>
              <w:t xml:space="preserve">p of </w:t>
            </w:r>
            <w:r>
              <w:rPr>
                <w:rStyle w:val="Character1"/>
                <w:sz w:val="52"/>
                <w:szCs w:val="52"/>
              </w:rPr>
              <w:t>incom</w:t>
            </w:r>
            <w:r>
              <w:rPr>
                <w:rStyle w:val="Character1"/>
                <w:sz w:val="52"/>
                <w:szCs w:val="52"/>
              </w:rPr>
              <w:t xml:space="preserve">es </w:t>
            </w:r>
            <w:r>
              <w:rPr>
                <w:rStyle w:val="Character1"/>
                <w:sz w:val="52"/>
                <w:szCs w:val="52"/>
              </w:rPr>
              <w:t xml:space="preserve">from 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profit</w:t>
            </w:r>
            <w:r>
              <w:rPr>
                <w:rStyle w:val="Character1"/>
                <w:sz w:val="52"/>
                <w:szCs w:val="52"/>
              </w:rPr>
              <w:t xml:space="preserve">able </w:t>
            </w:r>
            <w:r>
              <w:rPr>
                <w:rStyle w:val="Character1"/>
                <w:sz w:val="52"/>
                <w:szCs w:val="52"/>
              </w:rPr>
              <w:t>tax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24,23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Total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Costs </w:t>
            </w:r>
            <w:r>
              <w:rPr>
                <w:rStyle w:val="Character1"/>
                <w:sz w:val="52"/>
                <w:szCs w:val="52"/>
              </w:rPr>
              <w:t xml:space="preserve">o the </w:t>
            </w:r>
            <w:r>
              <w:rPr>
                <w:rStyle w:val="Character1"/>
                <w:sz w:val="52"/>
                <w:szCs w:val="52"/>
              </w:rPr>
              <w:t>Decla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ration: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687,8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21,97</w:t>
            </w:r>
            <w:r>
              <w:rPr>
                <w:rStyle w:val="Character1"/>
                <w:sz w:val="52"/>
                <w:szCs w:val="52"/>
              </w:rPr>
              <w:t>0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Net </w:t>
            </w:r>
            <w:r>
              <w:rPr>
                <w:rStyle w:val="Character1"/>
                <w:sz w:val="52"/>
                <w:szCs w:val="52"/>
              </w:rPr>
              <w:t>Profit</w:t>
            </w:r>
            <w:r>
              <w:rPr>
                <w:rStyle w:val="Character1"/>
                <w:sz w:val="52"/>
                <w:szCs w:val="52"/>
              </w:rPr>
              <w:t xml:space="preserve">s of </w:t>
            </w: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>Price: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99,80</w:t>
            </w:r>
            <w:r>
              <w:rPr>
                <w:rStyle w:val="Character1"/>
                <w:sz w:val="52"/>
                <w:szCs w:val="52"/>
              </w:rPr>
              <w:t>4,175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 xml:space="preserve">It is </w:t>
            </w:r>
            <w:r>
              <w:rPr>
                <w:rStyle w:val="Character6"/>
                <w:sz w:val="52"/>
                <w:szCs w:val="52"/>
              </w:rPr>
              <w:t xml:space="preserve">20% </w:t>
            </w:r>
            <w:r>
              <w:rPr>
                <w:rStyle w:val="Character6"/>
                <w:sz w:val="52"/>
                <w:szCs w:val="52"/>
              </w:rPr>
              <w:t>exem</w:t>
            </w:r>
            <w:r>
              <w:rPr>
                <w:rStyle w:val="Character6"/>
                <w:sz w:val="52"/>
                <w:szCs w:val="52"/>
              </w:rPr>
              <w:t xml:space="preserve">pted </w:t>
            </w:r>
            <w:r>
              <w:rPr>
                <w:rStyle w:val="Character6"/>
                <w:sz w:val="52"/>
                <w:szCs w:val="52"/>
              </w:rPr>
              <w:t xml:space="preserve">based </w:t>
            </w:r>
            <w:r>
              <w:rPr>
                <w:rStyle w:val="Character6"/>
                <w:sz w:val="52"/>
                <w:szCs w:val="52"/>
              </w:rPr>
              <w:t xml:space="preserve">on the </w:t>
            </w:r>
            <w:r>
              <w:rPr>
                <w:rStyle w:val="Character6"/>
                <w:sz w:val="52"/>
                <w:szCs w:val="52"/>
              </w:rPr>
              <w:t xml:space="preserve">letter </w:t>
            </w:r>
            <w:r>
              <w:rPr>
                <w:rStyle w:val="Character6"/>
                <w:sz w:val="52"/>
                <w:szCs w:val="52"/>
              </w:rPr>
              <w:t xml:space="preserve">No.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>RSI-</w:t>
            </w:r>
            <w:r>
              <w:rPr>
                <w:rStyle w:val="Character6"/>
                <w:sz w:val="52"/>
                <w:szCs w:val="52"/>
              </w:rPr>
              <w:t xml:space="preserve">37370 </w:t>
            </w:r>
            <w:r>
              <w:rPr>
                <w:rStyle w:val="Character6"/>
                <w:sz w:val="52"/>
                <w:szCs w:val="52"/>
              </w:rPr>
              <w:t xml:space="preserve">dated </w:t>
            </w:r>
            <w:r>
              <w:rPr>
                <w:rStyle w:val="Character6"/>
                <w:sz w:val="52"/>
                <w:szCs w:val="52"/>
              </w:rPr>
              <w:t xml:space="preserve">May.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 xml:space="preserve">28,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 xml:space="preserve">2012 </w:t>
            </w:r>
            <w:r>
              <w:rPr>
                <w:rStyle w:val="Character6"/>
                <w:sz w:val="52"/>
                <w:szCs w:val="52"/>
              </w:rPr>
              <w:t xml:space="preserve">the </w:t>
            </w:r>
            <w:r>
              <w:rPr>
                <w:rStyle w:val="Character6"/>
                <w:sz w:val="52"/>
                <w:szCs w:val="52"/>
              </w:rPr>
              <w:t xml:space="preserve">order </w:t>
            </w:r>
            <w:r>
              <w:rPr>
                <w:rStyle w:val="Character6"/>
                <w:sz w:val="52"/>
                <w:szCs w:val="52"/>
              </w:rPr>
              <w:t xml:space="preserve">of </w:t>
            </w:r>
            <w:r>
              <w:rPr>
                <w:rStyle w:val="Character6"/>
                <w:sz w:val="52"/>
                <w:szCs w:val="52"/>
              </w:rPr>
              <w:t>proce</w:t>
            </w:r>
            <w:r>
              <w:rPr>
                <w:rStyle w:val="Character6"/>
                <w:sz w:val="52"/>
                <w:szCs w:val="52"/>
              </w:rPr>
              <w:t xml:space="preserve">dures </w:t>
            </w:r>
            <w:r>
              <w:rPr>
                <w:rStyle w:val="Character6"/>
                <w:sz w:val="52"/>
                <w:szCs w:val="52"/>
              </w:rPr>
              <w:t xml:space="preserve">and </w:t>
            </w:r>
            <w:r>
              <w:rPr>
                <w:rStyle w:val="Character6"/>
                <w:sz w:val="52"/>
                <w:szCs w:val="52"/>
              </w:rPr>
              <w:t xml:space="preserve">tax </w:t>
            </w:r>
            <w:r>
              <w:rPr>
                <w:rStyle w:val="Character6"/>
                <w:sz w:val="52"/>
                <w:szCs w:val="52"/>
              </w:rPr>
              <w:t>exem</w:t>
            </w:r>
            <w:r>
              <w:rPr>
                <w:rStyle w:val="Character6"/>
                <w:sz w:val="52"/>
                <w:szCs w:val="52"/>
              </w:rPr>
              <w:t xml:space="preserve">ptions </w:t>
            </w:r>
            <w:r>
              <w:rPr>
                <w:rStyle w:val="Character6"/>
                <w:sz w:val="52"/>
                <w:szCs w:val="52"/>
              </w:rPr>
              <w:t xml:space="preserve">of </w:t>
            </w:r>
            <w:r>
              <w:rPr>
                <w:rStyle w:val="Character6"/>
                <w:sz w:val="52"/>
                <w:szCs w:val="52"/>
              </w:rPr>
              <w:t>princi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>palshi</w:t>
            </w:r>
            <w:r>
              <w:rPr>
                <w:rStyle w:val="Character6"/>
                <w:sz w:val="52"/>
                <w:szCs w:val="52"/>
              </w:rPr>
              <w:t xml:space="preserve">p of </w:t>
            </w:r>
            <w:r>
              <w:rPr>
                <w:rStyle w:val="Character6"/>
                <w:sz w:val="52"/>
                <w:szCs w:val="52"/>
              </w:rPr>
              <w:t xml:space="preserve">legal </w:t>
            </w:r>
            <w:r>
              <w:rPr>
                <w:rStyle w:val="Character6"/>
                <w:sz w:val="52"/>
                <w:szCs w:val="52"/>
              </w:rPr>
              <w:t>servic</w:t>
            </w:r>
            <w:r>
              <w:rPr>
                <w:rStyle w:val="Character6"/>
                <w:sz w:val="52"/>
                <w:szCs w:val="52"/>
              </w:rPr>
              <w:t xml:space="preserve">es and </w:t>
            </w:r>
            <w:r>
              <w:rPr>
                <w:rStyle w:val="Character6"/>
                <w:sz w:val="52"/>
                <w:szCs w:val="52"/>
              </w:rPr>
              <w:t xml:space="preserve">the </w:t>
            </w:r>
            <w:r>
              <w:rPr>
                <w:rStyle w:val="Character6"/>
                <w:sz w:val="52"/>
                <w:szCs w:val="52"/>
              </w:rPr>
              <w:t xml:space="preserve">policy </w:t>
            </w:r>
            <w:r>
              <w:rPr>
                <w:rStyle w:val="Character6"/>
                <w:sz w:val="52"/>
                <w:szCs w:val="52"/>
              </w:rPr>
              <w:t xml:space="preserve">of </w:t>
            </w:r>
            <w:r>
              <w:rPr>
                <w:rStyle w:val="Character6"/>
                <w:sz w:val="52"/>
                <w:szCs w:val="52"/>
              </w:rPr>
              <w:t>gener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 xml:space="preserve">al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>princi</w:t>
            </w:r>
            <w:r>
              <w:rPr>
                <w:rStyle w:val="Character6"/>
                <w:sz w:val="52"/>
                <w:szCs w:val="52"/>
              </w:rPr>
              <w:t>palshi</w:t>
            </w:r>
            <w:r>
              <w:rPr>
                <w:rStyle w:val="Character6"/>
                <w:sz w:val="52"/>
                <w:szCs w:val="52"/>
              </w:rPr>
              <w:t xml:space="preserve">p of </w:t>
            </w:r>
            <w:r>
              <w:rPr>
                <w:rStyle w:val="Character6"/>
                <w:sz w:val="52"/>
                <w:szCs w:val="52"/>
              </w:rPr>
              <w:t>incom</w:t>
            </w:r>
            <w:r>
              <w:rPr>
                <w:rStyle w:val="Character6"/>
                <w:sz w:val="52"/>
                <w:szCs w:val="52"/>
              </w:rPr>
              <w:t xml:space="preserve">es </w:t>
            </w:r>
            <w:r>
              <w:rPr>
                <w:rStyle w:val="Character6"/>
                <w:sz w:val="52"/>
                <w:szCs w:val="52"/>
              </w:rPr>
              <w:t xml:space="preserve">f4om </w:t>
            </w:r>
            <w:r>
              <w:rPr>
                <w:rStyle w:val="Character6"/>
                <w:sz w:val="52"/>
                <w:szCs w:val="52"/>
              </w:rPr>
              <w:t>incom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6"/>
                <w:sz w:val="52"/>
                <w:szCs w:val="52"/>
              </w:rPr>
              <w:t>es-tax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19,96</w:t>
            </w:r>
            <w:r>
              <w:rPr>
                <w:rStyle w:val="Character1"/>
                <w:sz w:val="52"/>
                <w:szCs w:val="52"/>
              </w:rPr>
              <w:t>0,835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1st </w:t>
            </w:r>
            <w:r>
              <w:rPr>
                <w:rStyle w:val="Character1"/>
                <w:sz w:val="52"/>
                <w:szCs w:val="52"/>
              </w:rPr>
              <w:t>quarte</w:t>
            </w:r>
            <w:r>
              <w:rPr>
                <w:rStyle w:val="Character1"/>
                <w:sz w:val="52"/>
                <w:szCs w:val="52"/>
              </w:rPr>
              <w:t xml:space="preserve">r of </w:t>
            </w: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>amou</w:t>
            </w:r>
            <w:r>
              <w:rPr>
                <w:rStyle w:val="Character1"/>
                <w:sz w:val="52"/>
                <w:szCs w:val="52"/>
              </w:rPr>
              <w:t>nt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-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Exem</w:t>
            </w:r>
            <w:r>
              <w:rPr>
                <w:rStyle w:val="Character1"/>
                <w:sz w:val="52"/>
                <w:szCs w:val="52"/>
              </w:rPr>
              <w:t>pt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2nd </w:t>
            </w:r>
            <w:r>
              <w:rPr>
                <w:rStyle w:val="Character1"/>
                <w:sz w:val="52"/>
                <w:szCs w:val="52"/>
              </w:rPr>
              <w:t>quarte</w:t>
            </w:r>
            <w:r>
              <w:rPr>
                <w:rStyle w:val="Character1"/>
                <w:sz w:val="52"/>
                <w:szCs w:val="52"/>
              </w:rPr>
              <w:t xml:space="preserve">r of -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the 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amou</w:t>
            </w:r>
            <w:r>
              <w:rPr>
                <w:rStyle w:val="Character1"/>
                <w:sz w:val="52"/>
                <w:szCs w:val="52"/>
              </w:rPr>
              <w:t>nt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Exem</w:t>
            </w:r>
            <w:r>
              <w:rPr>
                <w:rStyle w:val="Character1"/>
                <w:sz w:val="52"/>
                <w:szCs w:val="52"/>
              </w:rPr>
              <w:t>pt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3rd </w:t>
            </w:r>
            <w:r>
              <w:rPr>
                <w:rStyle w:val="Character1"/>
                <w:sz w:val="52"/>
                <w:szCs w:val="52"/>
              </w:rPr>
              <w:t>quarte</w:t>
            </w:r>
            <w:r>
              <w:rPr>
                <w:rStyle w:val="Character1"/>
                <w:sz w:val="52"/>
                <w:szCs w:val="52"/>
              </w:rPr>
              <w:t xml:space="preserve">r of -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>amout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Exem</w:t>
            </w:r>
            <w:r>
              <w:rPr>
                <w:rStyle w:val="Character1"/>
                <w:sz w:val="52"/>
                <w:szCs w:val="52"/>
              </w:rPr>
              <w:t>pt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4th </w:t>
            </w:r>
            <w:r>
              <w:rPr>
                <w:rStyle w:val="Character1"/>
                <w:sz w:val="52"/>
                <w:szCs w:val="52"/>
              </w:rPr>
              <w:t>quarte</w:t>
            </w:r>
            <w:r>
              <w:rPr>
                <w:rStyle w:val="Character1"/>
                <w:sz w:val="52"/>
                <w:szCs w:val="52"/>
              </w:rPr>
              <w:t xml:space="preserve">r of </w:t>
            </w:r>
            <w:r>
              <w:rPr>
                <w:rStyle w:val="Character1"/>
                <w:sz w:val="52"/>
                <w:szCs w:val="52"/>
              </w:rPr>
              <w:t xml:space="preserve">the </w:t>
            </w:r>
            <w:r>
              <w:rPr>
                <w:rStyle w:val="Character1"/>
                <w:sz w:val="52"/>
                <w:szCs w:val="52"/>
              </w:rPr>
              <w:t>amou</w:t>
            </w:r>
            <w:r>
              <w:rPr>
                <w:rStyle w:val="Character1"/>
                <w:sz w:val="52"/>
                <w:szCs w:val="52"/>
              </w:rPr>
              <w:t>nt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-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Exem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pt 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7"/>
                <w:b/>
                <w:sz w:val="36"/>
                <w:szCs w:val="36"/>
              </w:rPr>
              <w:t xml:space="preserve">Total </w:t>
            </w:r>
            <w:r>
              <w:rPr>
                <w:rStyle w:val="Character7"/>
                <w:b/>
                <w:sz w:val="36"/>
                <w:szCs w:val="36"/>
              </w:rPr>
              <w:t>profitabl</w:t>
            </w:r>
            <w:r>
              <w:rPr>
                <w:rStyle w:val="Character7"/>
                <w:b/>
                <w:sz w:val="36"/>
                <w:szCs w:val="36"/>
              </w:rPr>
              <w:t xml:space="preserve">e finance </w:t>
            </w:r>
            <w:r>
              <w:rPr>
                <w:rStyle w:val="Character1"/>
                <w:sz w:val="52"/>
                <w:szCs w:val="52"/>
              </w:rPr>
              <w:t>-</w:t>
            </w:r>
          </w:p>
          <w:p>
            <w:pPr>
              <w:pStyle w:val="Para9"/>
              <w:spacing w:line="271" w:lineRule="auto"/>
              <w:ind w:left="0" w:hanging="0"/>
              <w:rPr>
                <w:b/>
                <w:sz w:val="36"/>
                <w:szCs w:val="36"/>
                <w:sz w:val="36"/>
                <w:szCs w:val="36"/>
                <w:rFonts w:ascii="Times New Roman" w:eastAsia="Times New Roman" w:hAnsi="Times New Roman"/>
              </w:rPr>
            </w:pPr>
            <w:r>
              <w:rPr>
                <w:rStyle w:val="Character7"/>
                <w:b/>
                <w:sz w:val="36"/>
                <w:szCs w:val="36"/>
              </w:rPr>
              <w:t xml:space="preserve">that is </w:t>
            </w:r>
            <w:r>
              <w:rPr>
                <w:rStyle w:val="Character7"/>
                <w:b/>
                <w:sz w:val="36"/>
                <w:szCs w:val="36"/>
              </w:rPr>
              <w:t xml:space="preserve">paid up </w:t>
            </w:r>
            <w:r>
              <w:rPr>
                <w:rStyle w:val="Character7"/>
                <w:b/>
                <w:sz w:val="36"/>
                <w:szCs w:val="36"/>
              </w:rPr>
              <w:t>2%: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-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</w:tr>
      <w:tr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9"/>
              <w:spacing w:line="271" w:lineRule="auto"/>
              <w:ind w:left="0" w:hanging="0"/>
              <w:rPr>
                <w:b/>
                <w:sz w:val="36"/>
                <w:szCs w:val="36"/>
                <w:sz w:val="36"/>
                <w:szCs w:val="36"/>
                <w:rFonts w:ascii="Times New Roman" w:eastAsia="Times New Roman" w:hAnsi="Times New Roman"/>
              </w:rPr>
            </w:pPr>
            <w:r>
              <w:rPr>
                <w:rStyle w:val="Character7"/>
                <w:b/>
                <w:sz w:val="36"/>
                <w:szCs w:val="36"/>
              </w:rPr>
              <w:t xml:space="preserve">Total </w:t>
            </w:r>
            <w:r>
              <w:rPr>
                <w:rStyle w:val="Character7"/>
                <w:b/>
                <w:sz w:val="36"/>
                <w:szCs w:val="36"/>
              </w:rPr>
              <w:t>achievab</w:t>
            </w:r>
            <w:r>
              <w:rPr>
                <w:rStyle w:val="Character7"/>
                <w:b/>
                <w:sz w:val="36"/>
                <w:szCs w:val="36"/>
              </w:rPr>
              <w:t xml:space="preserve">le taxes </w:t>
            </w:r>
            <w:r>
              <w:rPr>
                <w:rStyle w:val="Character7"/>
                <w:b/>
                <w:sz w:val="36"/>
                <w:szCs w:val="36"/>
              </w:rPr>
              <w:t xml:space="preserve">and </w:t>
            </w:r>
            <w:r>
              <w:rPr>
                <w:rStyle w:val="Character7"/>
                <w:b/>
                <w:sz w:val="36"/>
                <w:szCs w:val="36"/>
              </w:rPr>
              <w:t xml:space="preserve">crimes </w:t>
            </w:r>
            <w:r>
              <w:rPr>
                <w:rStyle w:val="Character7"/>
                <w:b/>
                <w:sz w:val="36"/>
                <w:szCs w:val="36"/>
              </w:rPr>
              <w:t xml:space="preserve">part (A)</w:t>
            </w: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  <w:tc>
          <w:tcPr>
            <w:tcW w:w="1504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</w:p>
        </w:tc>
      </w:tr>
    </w:tbl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4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The so-called company submits its tax </w:t>
      </w:r>
      <w:r>
        <w:rPr>
          <w:rStyle w:val="Character1"/>
          <w:sz w:val="52"/>
          <w:szCs w:val="52"/>
        </w:rPr>
        <w:t xml:space="preserve">profits (in accordance with incomes-tax </w:t>
      </w:r>
      <w:r>
        <w:rPr>
          <w:rStyle w:val="Character1"/>
          <w:sz w:val="52"/>
          <w:szCs w:val="52"/>
        </w:rPr>
        <w:t xml:space="preserve">declaration) for the year 2014 as the </w:t>
      </w:r>
      <w:r>
        <w:rPr>
          <w:rStyle w:val="Character1"/>
          <w:sz w:val="52"/>
          <w:szCs w:val="52"/>
        </w:rPr>
        <w:t xml:space="preserve">following :</w:t>
      </w:r>
    </w:p>
    <w:tbl>
      <w:tblPr>
        <w:tblStyle w:val="Default Table"/>
        <w:tblCellMar w:top="60" w:left="60" w:bottom="60" w:right="60"/>
        <w:tblW w:w="9024" w:type="auto"/>
        <w:tblLook w:val="0000"/>
      </w:tblPr>
      <w:tblGrid>
        <w:gridCol w:w="3008"/>
        <w:gridCol w:w="3008"/>
        <w:gridCol w:w="3008"/>
      </w:tblGrid>
      <w:tr>
        <w:tc>
          <w:tcPr>
            <w:tcW w:w="3008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11"/>
              <w:spacing w:line="208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Tax Year</w:t>
            </w:r>
          </w:p>
        </w:tc>
        <w:tc>
          <w:tcPr>
            <w:tcW w:w="3008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11"/>
              <w:spacing w:line="208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Profits in </w:t>
            </w:r>
            <w:r>
              <w:rPr>
                <w:rStyle w:val="Character1"/>
                <w:sz w:val="52"/>
                <w:szCs w:val="52"/>
              </w:rPr>
              <w:t xml:space="preserve">accordance </w:t>
            </w:r>
            <w:r>
              <w:rPr>
                <w:rStyle w:val="Character1"/>
                <w:sz w:val="52"/>
                <w:szCs w:val="52"/>
              </w:rPr>
              <w:t xml:space="preserve">with incomes</w:t>
            </w:r>
            <w:r>
              <w:rPr>
                <w:rStyle w:val="Character1"/>
                <w:sz w:val="52"/>
                <w:szCs w:val="52"/>
              </w:rPr>
              <w:t xml:space="preserve">-tax </w:t>
            </w:r>
            <w:r>
              <w:rPr>
                <w:rStyle w:val="Character1"/>
                <w:sz w:val="52"/>
                <w:szCs w:val="52"/>
              </w:rPr>
              <w:t xml:space="preserve">declaration </w:t>
            </w:r>
          </w:p>
        </w:tc>
        <w:tc>
          <w:tcPr>
            <w:tcW w:w="3008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11"/>
              <w:spacing w:line="208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Stabilized </w:t>
            </w:r>
            <w:r>
              <w:rPr>
                <w:rStyle w:val="Character1"/>
                <w:sz w:val="52"/>
                <w:szCs w:val="52"/>
              </w:rPr>
              <w:t xml:space="preserve">profits as a </w:t>
            </w:r>
            <w:r>
              <w:rPr>
                <w:rStyle w:val="Character1"/>
                <w:sz w:val="52"/>
                <w:szCs w:val="52"/>
              </w:rPr>
              <w:t xml:space="preserve">result of the </w:t>
            </w:r>
            <w:r>
              <w:rPr>
                <w:rStyle w:val="Character1"/>
                <w:sz w:val="52"/>
                <w:szCs w:val="52"/>
              </w:rPr>
              <w:t xml:space="preserve">review </w:t>
            </w:r>
          </w:p>
        </w:tc>
      </w:tr>
      <w:tr>
        <w:tc>
          <w:tcPr>
            <w:tcW w:w="3008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11"/>
              <w:spacing w:line="208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2014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3008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11"/>
              <w:spacing w:line="208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>99804175</w:t>
            </w: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7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Para8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</w:p>
          <w:p>
            <w:pPr>
              <w:pStyle w:val="Normal"/>
              <w:rPr/>
            </w:pPr>
          </w:p>
        </w:tc>
        <w:tc>
          <w:tcPr>
            <w:tcW w:w="3008" w:type="dxa"/>
            <w:tcMar>
              <w:left w:w="60" w:type="dxa"/>
              <w:right w:w="60" w:type="dxa"/>
              <w:top w:w="60" w:type="dxa"/>
              <w:bottom w:w="60" w:type="dxa"/>
            </w:tcMar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Profits </w:t>
            </w:r>
            <w:r>
              <w:rPr>
                <w:rStyle w:val="Character1"/>
                <w:sz w:val="52"/>
                <w:szCs w:val="52"/>
              </w:rPr>
              <w:t xml:space="preserve">amount is </w:t>
            </w:r>
          </w:p>
          <w:p>
            <w:pPr>
              <w:pStyle w:val="Para6"/>
              <w:spacing w:line="240" w:lineRule="auto"/>
              <w:ind w:left="0" w:hanging="0"/>
              <w:rPr>
                <w:sz w:val="20"/>
                <w:szCs w:val="20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increased as </w:t>
            </w:r>
          </w:p>
          <w:p>
            <w:pPr>
              <w:pStyle w:val="Para2"/>
              <w:spacing w:line="312" w:lineRule="auto"/>
              <w:ind w:left="0" w:hanging="0"/>
              <w:rPr>
                <w:sz w:val="52"/>
                <w:szCs w:val="52"/>
                <w:sz w:val="52"/>
                <w:szCs w:val="52"/>
                <w:rFonts w:ascii="Times New Roman" w:eastAsia="Times New Roman" w:hAnsi="Times New Roman"/>
              </w:rPr>
            </w:pPr>
            <w:r>
              <w:rPr>
                <w:rStyle w:val="Character1"/>
                <w:sz w:val="52"/>
                <w:szCs w:val="52"/>
              </w:rPr>
              <w:t xml:space="preserve">a result of the </w:t>
            </w:r>
            <w:r>
              <w:rPr>
                <w:rStyle w:val="Character1"/>
                <w:sz w:val="52"/>
                <w:szCs w:val="52"/>
              </w:rPr>
              <w:t>review.</w:t>
            </w:r>
          </w:p>
        </w:tc>
      </w:tr>
    </w:tbl>
    <w:p>
      <w:pPr>
        <w:pStyle w:val="Para2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Other Information:</w:t>
      </w:r>
      <w:r>
        <w:rPr>
          <w:rStyle w:val="Character9"/>
          <w:sz w:val="24"/>
          <w:szCs w:val="24"/>
        </w:rPr>
        <w:t xml:space="preserve"> </w:t>
      </w:r>
      <w:r>
        <w:rPr>
          <w:rStyle w:val="Character1"/>
          <w:sz w:val="52"/>
          <w:szCs w:val="52"/>
        </w:rPr>
        <w:t xml:space="preserve">it was noted that the </w:t>
      </w:r>
      <w:r>
        <w:rPr>
          <w:rStyle w:val="Character1"/>
          <w:sz w:val="52"/>
          <w:szCs w:val="52"/>
        </w:rPr>
        <w:t xml:space="preserve">IDG SECURITY has claimed that </w:t>
      </w:r>
      <w:r>
        <w:rPr>
          <w:rStyle w:val="Character1"/>
          <w:sz w:val="52"/>
          <w:szCs w:val="52"/>
        </w:rPr>
        <w:t xml:space="preserve">687821970 Afghans were the costs of </w:t>
      </w:r>
      <w:r>
        <w:rPr>
          <w:rStyle w:val="Character1"/>
          <w:sz w:val="52"/>
          <w:szCs w:val="52"/>
        </w:rPr>
        <w:t xml:space="preserve">((authorized deductions)) for the year 2014  </w:t>
      </w:r>
      <w:r>
        <w:rPr>
          <w:rStyle w:val="Character1"/>
          <w:sz w:val="52"/>
          <w:szCs w:val="52"/>
        </w:rPr>
        <w:t xml:space="preserve">that it will be cleared after the  review that </w:t>
      </w:r>
      <w:r>
        <w:rPr>
          <w:rStyle w:val="Character1"/>
          <w:sz w:val="52"/>
          <w:szCs w:val="52"/>
        </w:rPr>
        <w:t xml:space="preserve">how much of the costs were authorized and </w:t>
      </w:r>
      <w:r>
        <w:rPr>
          <w:rStyle w:val="Character1"/>
          <w:sz w:val="52"/>
          <w:szCs w:val="52"/>
        </w:rPr>
        <w:t xml:space="preserve">how much were unauthorized for the </w:t>
      </w:r>
      <w:r>
        <w:rPr>
          <w:rStyle w:val="Character1"/>
          <w:sz w:val="52"/>
          <w:szCs w:val="52"/>
        </w:rPr>
        <w:t>company.</w:t>
      </w: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2.0 Purpose and the Range: (Presenting the </w:t>
      </w:r>
      <w:r>
        <w:rPr>
          <w:rStyle w:val="Character1"/>
          <w:sz w:val="52"/>
          <w:szCs w:val="52"/>
        </w:rPr>
        <w:t xml:space="preserve">brief information about how to choose a </w:t>
      </w:r>
      <w:r>
        <w:rPr>
          <w:rStyle w:val="Character1"/>
          <w:sz w:val="52"/>
          <w:szCs w:val="52"/>
        </w:rPr>
        <w:t xml:space="preserve">declaration for the review)</w:t>
      </w: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Tax declaration of the IDG SECURITY </w:t>
      </w:r>
      <w:r>
        <w:rPr>
          <w:rStyle w:val="Character1"/>
          <w:sz w:val="52"/>
          <w:szCs w:val="52"/>
        </w:rPr>
        <w:t xml:space="preserve">for the year 2014 in accordance with the </w:t>
      </w:r>
      <w:r>
        <w:rPr>
          <w:rStyle w:val="Character1"/>
          <w:sz w:val="52"/>
          <w:szCs w:val="52"/>
        </w:rPr>
        <w:t xml:space="preserve">process of risk-based accountability that </w:t>
      </w:r>
      <w:r>
        <w:rPr>
          <w:rStyle w:val="Character1"/>
          <w:sz w:val="52"/>
          <w:szCs w:val="52"/>
        </w:rPr>
        <w:t xml:space="preserve">the general chairmanship of incomes has </w:t>
      </w:r>
      <w:r>
        <w:rPr>
          <w:rStyle w:val="Character1"/>
          <w:sz w:val="52"/>
          <w:szCs w:val="52"/>
        </w:rPr>
        <w:t xml:space="preserve">adopted it, has been chosen for the review. </w:t>
      </w: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The so-called company has submitted its </w:t>
      </w:r>
      <w:r>
        <w:rPr>
          <w:rStyle w:val="Character1"/>
          <w:sz w:val="52"/>
          <w:szCs w:val="52"/>
        </w:rPr>
        <w:t xml:space="preserve">tax declaration in accordance with the law </w:t>
      </w:r>
      <w:r>
        <w:rPr>
          <w:rStyle w:val="Character1"/>
          <w:sz w:val="52"/>
          <w:szCs w:val="52"/>
        </w:rPr>
        <w:t xml:space="preserve">in the given time</w:t>
      </w: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"/>
          <w:sz w:val="52"/>
          <w:szCs w:val="52"/>
        </w:rPr>
        <w:t xml:space="preserve">Gross Incomes:</w:t>
      </w:r>
    </w:p>
    <w:p>
      <w:pPr>
        <w:pStyle w:val="Para13"/>
        <w:spacing w:line="271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center"/>
      <w:wordWrap w:val="false"/>
      <w:ind w:right="120" w:firstLine="0"/>
      <w:widowControl w:val="false"/>
      <w:rPr/>
    </w:pPr>
  </w:style>
  <w:style w:type="paragraph" w:customStyle="1" w:styleId="Para1">
    <w:name w:val="ParaAttribute1"/>
    <w:pPr>
      <w:jc w:val="center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center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both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 w:hanging="0"/>
      <w:rPr/>
    </w:pPr>
  </w:style>
  <w:style w:type="paragraph" w:customStyle="1" w:styleId="Para8">
    <w:name w:val="ParaAttribute8"/>
    <w:pPr>
      <w:jc w:val="left"/>
      <w:wordWrap w:val="false"/>
      <w:ind w:left="0" w:hanging="0"/>
      <w:rPr/>
    </w:pPr>
  </w:style>
  <w:style w:type="paragraph" w:customStyle="1" w:styleId="Para9">
    <w:name w:val="ParaAttribute9"/>
    <w:pPr>
      <w:jc w:val="left"/>
      <w:wordWrap w:val="false"/>
      <w:ind w:left="0" w:hanging="0"/>
      <w:widowControl w:val="false"/>
      <w:rPr/>
    </w:pPr>
  </w:style>
  <w:style w:type="paragraph" w:customStyle="1" w:styleId="Para10">
    <w:name w:val="ParaAttribute10"/>
    <w:pPr>
      <w:jc w:val="both"/>
      <w:wordWrap w:val="false"/>
      <w:ind w:left="0" w:hanging="0"/>
      <w:widowControl w:val="false"/>
      <w:rPr/>
    </w:pPr>
  </w:style>
  <w:style w:type="paragraph" w:customStyle="1" w:styleId="Para11">
    <w:name w:val="ParaAttribute11"/>
    <w:pPr>
      <w:jc w:val="left"/>
      <w:wordWrap w:val="false"/>
      <w:ind w:left="0" w:hanging="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paragraph" w:customStyle="1" w:styleId="Para13">
    <w:name w:val="ParaAttribute13"/>
    <w:pPr>
      <w:jc w:val="both"/>
      <w:wordWrap w:val="false"/>
      <w:ind w:left="0" w:hanging="0"/>
      <w:widowControl w:val="false"/>
      <w:rPr/>
    </w:pPr>
  </w:style>
  <w:style w:type="paragraph" w:customStyle="1" w:styleId="Para14">
    <w:name w:val="ParaAttribute14"/>
    <w:pPr>
      <w:jc w:val="left"/>
      <w:wordWrap w:val="false"/>
      <w:ind w:left="0" w:hanging="0"/>
      <w:widowControl w:val="false"/>
      <w:rPr/>
    </w:pPr>
  </w:style>
  <w:style w:type="paragraph" w:customStyle="1" w:styleId="Para15">
    <w:name w:val="ParaAttribute15"/>
    <w:pPr>
      <w:jc w:val="left"/>
      <w:wordWrap w:val="false"/>
      <w:ind w:left="0" w:hanging="0"/>
      <w:widowControl w:val="false"/>
      <w:rPr/>
    </w:pPr>
  </w:style>
  <w:style w:type="paragraph" w:customStyle="1" w:styleId="Para16">
    <w:name w:val="ParaAttribute16"/>
    <w:pPr>
      <w:jc w:val="left"/>
      <w:wordWrap w:val="false"/>
      <w:ind w:left="0" w:hanging="0"/>
      <w:widowControl w:val="false"/>
      <w:rPr/>
    </w:pPr>
  </w:style>
  <w:style w:type="paragraph" w:customStyle="1" w:styleId="Para17">
    <w:name w:val="ParaAttribute17"/>
    <w:pPr>
      <w:jc w:val="left"/>
      <w:wordWrap w:val="false"/>
      <w:ind w:left="0" w:hanging="0"/>
      <w:widowControl w:val="false"/>
      <w:rPr/>
    </w:pPr>
  </w:style>
  <w:style w:type="paragraph" w:customStyle="1" w:styleId="Para18">
    <w:name w:val="ParaAttribute18"/>
    <w:pPr>
      <w:jc w:val="left"/>
      <w:wordWrap w:val="false"/>
      <w:ind w:left="0" w:hanging="0"/>
      <w:widowControl w:val="false"/>
      <w:rPr/>
    </w:pPr>
  </w:style>
  <w:style w:type="paragraph" w:customStyle="1" w:styleId="Para19">
    <w:name w:val="ParaAttribute19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  <w:sz w:val="52"/>
    </w:rPr>
  </w:style>
  <w:style w:type="character" w:customStyle="1" w:styleId="Character1">
    <w:name w:val="CharAttribute1"/>
    <w:rPr>
      <w:rFonts w:ascii="Times New Roman" w:eastAsia="Times New Roman"/>
      <w:sz w:val="52"/>
    </w:rPr>
  </w:style>
  <w:style w:type="character" w:customStyle="1" w:styleId="Character2">
    <w:name w:val="CharAttribute2"/>
    <w:rPr>
      <w:rFonts w:ascii="Times New Roman" w:eastAsia="Times New Roman"/>
      <w:color w:val="C00000"/>
      <w:sz w:val="52"/>
    </w:rPr>
  </w:style>
  <w:style w:type="character" w:customStyle="1" w:styleId="Character3">
    <w:name w:val="CharAttribute3"/>
    <w:rPr>
      <w:rFonts w:ascii="Times New Roman" w:eastAsia="Times New Roman"/>
      <w:sz w:val="52"/>
    </w:rPr>
  </w:style>
  <w:style w:type="character" w:customStyle="1" w:styleId="Character4">
    <w:name w:val="CharAttribute4"/>
    <w:rPr>
      <w:rFonts w:ascii="Times New Roman" w:eastAsia="Times New Roman"/>
    </w:rPr>
  </w:style>
  <w:style w:type="character" w:customStyle="1" w:styleId="Character5">
    <w:name w:val="CharAttribute5"/>
    <w:rPr>
      <w:rFonts w:ascii="Times New Roman" w:eastAsia="바탕"/>
    </w:rPr>
  </w:style>
  <w:style w:type="character" w:customStyle="1" w:styleId="Character6">
    <w:name w:val="CharAttribute6"/>
    <w:rPr>
      <w:rFonts w:ascii="Times New Roman" w:eastAsia="굴림"/>
      <w:sz w:val="52"/>
    </w:rPr>
  </w:style>
  <w:style w:type="character" w:customStyle="1" w:styleId="Character7">
    <w:name w:val="CharAttribute7"/>
    <w:rPr>
      <w:rFonts w:ascii="Times New Roman" w:eastAsia="Times New Roman"/>
      <w:b/>
      <w:sz w:val="36"/>
    </w:rPr>
  </w:style>
  <w:style w:type="character" w:customStyle="1" w:styleId="Character8">
    <w:name w:val="CharAttribute8"/>
    <w:rPr>
      <w:rFonts w:ascii="Times New Roman" w:eastAsia="Times New Roman"/>
      <w:b/>
      <w:sz w:val="36"/>
    </w:rPr>
  </w:style>
  <w:style w:type="character" w:customStyle="1" w:styleId="Character9">
    <w:name w:val="CharAttribute9"/>
    <w:rPr>
      <w:rFonts w:ascii="Times New Roman" w:eastAsia="Times New Roman"/>
      <w:sz w:val="24"/>
    </w:rPr>
  </w:style>
  <w:style w:type="character" w:customStyle="1" w:styleId="Character10">
    <w:name w:val="CharAttribute10"/>
    <w:rPr>
      <w:rFonts w:ascii="Times New Roman" w:eastAsia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13</Pages>
  <Paragraphs>0</Paragraphs>
  <Words>35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